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001" w:rsidRDefault="00633DE6">
      <w:pPr>
        <w:widowControl w:val="0"/>
        <w:autoSpaceDE w:val="0"/>
        <w:autoSpaceDN w:val="0"/>
        <w:adjustRightInd w:val="0"/>
        <w:spacing w:after="0" w:line="240" w:lineRule="auto"/>
        <w:ind w:firstLine="1119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1</w:t>
      </w:r>
    </w:p>
    <w:p w:rsidR="00EE4001" w:rsidRDefault="00633DE6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распоряжению </w:t>
      </w:r>
    </w:p>
    <w:p w:rsidR="00EE4001" w:rsidRDefault="00633DE6">
      <w:pPr>
        <w:spacing w:after="0" w:line="240" w:lineRule="auto"/>
        <w:ind w:firstLine="11199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:rsidR="00EE4001" w:rsidRDefault="00633DE6">
      <w:pPr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от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_</w:t>
      </w:r>
      <w:r w:rsidR="000661DF">
        <w:rPr>
          <w:rFonts w:ascii="Times New Roman" w:eastAsia="Times New Roman" w:hAnsi="Times New Roman" w:cs="Times New Roman"/>
          <w:szCs w:val="24"/>
          <w:lang w:eastAsia="ru-RU"/>
        </w:rPr>
        <w:t>03.06.2025</w:t>
      </w:r>
      <w:r>
        <w:rPr>
          <w:rFonts w:ascii="Times New Roman" w:eastAsia="Times New Roman" w:hAnsi="Times New Roman" w:cs="Times New Roman"/>
          <w:szCs w:val="24"/>
          <w:lang w:eastAsia="ru-RU"/>
        </w:rPr>
        <w:t>____ № _</w:t>
      </w:r>
      <w:r w:rsidR="000661DF">
        <w:rPr>
          <w:rFonts w:ascii="Times New Roman" w:eastAsia="Times New Roman" w:hAnsi="Times New Roman" w:cs="Times New Roman"/>
          <w:szCs w:val="24"/>
          <w:lang w:eastAsia="ru-RU"/>
        </w:rPr>
        <w:t>469-ра</w:t>
      </w:r>
      <w:bookmarkStart w:id="0" w:name="_GoBack"/>
      <w:bookmarkEnd w:id="0"/>
    </w:p>
    <w:p w:rsidR="00EE4001" w:rsidRDefault="00EE40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:rsidR="00EE4001" w:rsidRDefault="00633D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ИТОГОВЫЙ ОТЧЕТ</w:t>
      </w:r>
    </w:p>
    <w:p w:rsidR="00EE4001" w:rsidRDefault="00633D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 реализации муниципальной программы</w:t>
      </w:r>
    </w:p>
    <w:p w:rsidR="00EE4001" w:rsidRDefault="00633DE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«Эффективное управление муниципальными финансами ЗАТО Северск» на 2021 - 2024 годы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</w:p>
    <w:p w:rsidR="00EE4001" w:rsidRDefault="00EE400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453"/>
        <w:gridCol w:w="2172"/>
        <w:gridCol w:w="1014"/>
        <w:gridCol w:w="1307"/>
        <w:gridCol w:w="1310"/>
        <w:gridCol w:w="1307"/>
        <w:gridCol w:w="1035"/>
        <w:gridCol w:w="3068"/>
        <w:gridCol w:w="744"/>
        <w:gridCol w:w="841"/>
        <w:gridCol w:w="929"/>
        <w:gridCol w:w="947"/>
      </w:tblGrid>
      <w:tr w:rsidR="00EE4001">
        <w:trPr>
          <w:trHeight w:val="346"/>
          <w:tblHeader/>
        </w:trPr>
        <w:tc>
          <w:tcPr>
            <w:tcW w:w="150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718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программы, подпрограммы</w:t>
            </w:r>
          </w:p>
        </w:tc>
        <w:tc>
          <w:tcPr>
            <w:tcW w:w="335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Период, год</w:t>
            </w:r>
          </w:p>
        </w:tc>
        <w:tc>
          <w:tcPr>
            <w:tcW w:w="1296" w:type="pct"/>
            <w:gridSpan w:val="3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вания,</w:t>
            </w:r>
          </w:p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тыс. руб.</w:t>
            </w:r>
          </w:p>
        </w:tc>
        <w:tc>
          <w:tcPr>
            <w:tcW w:w="342" w:type="pct"/>
            <w:vMerge w:val="restart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Процент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нения,   </w:t>
            </w:r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          %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vMerge w:val="restart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программы, подпрограммы</w:t>
            </w:r>
          </w:p>
        </w:tc>
        <w:tc>
          <w:tcPr>
            <w:tcW w:w="246" w:type="pct"/>
            <w:vMerge w:val="restart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Еди-ница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изме</w:t>
            </w:r>
            <w:proofErr w:type="spellEnd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-рения</w:t>
            </w:r>
          </w:p>
        </w:tc>
        <w:tc>
          <w:tcPr>
            <w:tcW w:w="898" w:type="pct"/>
            <w:gridSpan w:val="3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 результативности</w:t>
            </w:r>
          </w:p>
        </w:tc>
      </w:tr>
      <w:tr w:rsidR="00EE4001">
        <w:trPr>
          <w:trHeight w:val="551"/>
          <w:tblHeader/>
        </w:trPr>
        <w:tc>
          <w:tcPr>
            <w:tcW w:w="150" w:type="pct"/>
            <w:vMerge/>
            <w:vAlign w:val="center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vAlign w:val="center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5" w:type="pct"/>
            <w:vMerge/>
            <w:vAlign w:val="center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потреб-</w:t>
            </w:r>
            <w:proofErr w:type="spellStart"/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  <w:proofErr w:type="spellEnd"/>
            <w:proofErr w:type="gramEnd"/>
          </w:p>
        </w:tc>
        <w:tc>
          <w:tcPr>
            <w:tcW w:w="433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план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факт</w:t>
            </w: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план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факт</w:t>
            </w:r>
          </w:p>
        </w:tc>
        <w:tc>
          <w:tcPr>
            <w:tcW w:w="314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оценка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дости-жения</w:t>
            </w:r>
            <w:proofErr w:type="spellEnd"/>
            <w:proofErr w:type="gramEnd"/>
          </w:p>
        </w:tc>
      </w:tr>
    </w:tbl>
    <w:p w:rsidR="00EE4001" w:rsidRDefault="00EE4001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85" w:type="dxa"/>
          <w:left w:w="57" w:type="dxa"/>
          <w:bottom w:w="85" w:type="dxa"/>
          <w:right w:w="57" w:type="dxa"/>
        </w:tblCellMar>
        <w:tblLook w:val="04A0" w:firstRow="1" w:lastRow="0" w:firstColumn="1" w:lastColumn="0" w:noHBand="0" w:noVBand="1"/>
      </w:tblPr>
      <w:tblGrid>
        <w:gridCol w:w="453"/>
        <w:gridCol w:w="2172"/>
        <w:gridCol w:w="1017"/>
        <w:gridCol w:w="1307"/>
        <w:gridCol w:w="1310"/>
        <w:gridCol w:w="1307"/>
        <w:gridCol w:w="1035"/>
        <w:gridCol w:w="3068"/>
        <w:gridCol w:w="744"/>
        <w:gridCol w:w="841"/>
        <w:gridCol w:w="929"/>
        <w:gridCol w:w="944"/>
      </w:tblGrid>
      <w:tr w:rsidR="00EE4001">
        <w:trPr>
          <w:trHeight w:val="263"/>
          <w:tblHeader/>
        </w:trPr>
        <w:tc>
          <w:tcPr>
            <w:tcW w:w="150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718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33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33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342" w:type="pct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1014" w:type="pct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278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307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31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</w:tr>
      <w:tr w:rsidR="00EE4001">
        <w:trPr>
          <w:trHeight w:val="1027"/>
        </w:trPr>
        <w:tc>
          <w:tcPr>
            <w:tcW w:w="150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«Эффективное управление муниципальными финансами ЗАТО Северск» на 2021 - 2024 годы</w:t>
            </w: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42 152,08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42 152,08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41 593,65</w:t>
            </w:r>
          </w:p>
        </w:tc>
        <w:tc>
          <w:tcPr>
            <w:tcW w:w="342" w:type="pct"/>
            <w:vMerge w:val="restart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99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расходов бюджета, сформированных в рамках муниципальных программ, не менее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94,2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1,00</w:t>
            </w:r>
          </w:p>
        </w:tc>
      </w:tr>
      <w:tr w:rsidR="00EE4001">
        <w:trPr>
          <w:trHeight w:val="5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общем объеме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собственных доходов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(без учета субвенций)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28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27,6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0,99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балл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97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Расходы бюджета </w:t>
            </w:r>
          </w:p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 содержание работников органов местного самоуправления </w:t>
            </w:r>
          </w:p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расчете на одного жителя</w:t>
            </w:r>
          </w:p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2483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2460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0,99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48 738,25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48 </w:t>
            </w:r>
            <w:r>
              <w:rPr>
                <w:rFonts w:ascii="Times New Roman" w:hAnsi="Times New Roman" w:cs="Times New Roman"/>
                <w:szCs w:val="24"/>
              </w:rPr>
              <w:t>738,25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48 496,54</w:t>
            </w:r>
          </w:p>
        </w:tc>
        <w:tc>
          <w:tcPr>
            <w:tcW w:w="342" w:type="pct"/>
            <w:vMerge w:val="restart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расходов бюджета, сформированных в рамках муниципальных программ, не менее</w:t>
            </w:r>
          </w:p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94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93,6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1,03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(без учета субвенций)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27,4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1,00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балл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Расходы бюджета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на содержание работников органов местного самоуправления </w:t>
            </w:r>
          </w:p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расчете на одного жителя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3582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3742,9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51 800,65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51 800,65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44 222,48</w:t>
            </w:r>
          </w:p>
        </w:tc>
        <w:tc>
          <w:tcPr>
            <w:tcW w:w="342" w:type="pct"/>
            <w:vMerge w:val="restart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85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расходов бюджета, сформированных в рамках муниципальных программ, не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менее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94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94,71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1,01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(без учета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субвенций)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27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26,6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0,99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балл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97,2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4. Расходы бюджета </w:t>
            </w:r>
          </w:p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на содержание работников органов местного самоуправления </w:t>
            </w:r>
          </w:p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расчете на одного жителя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4185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4185,06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64 435,73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63 313,38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62 885,72</w:t>
            </w:r>
          </w:p>
        </w:tc>
        <w:tc>
          <w:tcPr>
            <w:tcW w:w="342" w:type="pct"/>
            <w:vMerge w:val="restart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99,3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Доля расходов бюджета, сформированных в рамках муниципальных программ, не менее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94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94,54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1,00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Доля налоговых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и неналоговых доходов консолидированного бюджета ЗАТО Северск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(за исключением поступлений налоговых доходов по дополнительным нормативам отчислений)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в общем объеме собственных доходов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(без учета субвенций)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26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25,81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0,99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 Средняя балльная оценка финансового менеджмента ГАБС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балл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95,6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95,6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Расходы бюджета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на содержание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работников органов местного самоуправления </w:t>
            </w:r>
          </w:p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расчете на одного жителя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4462,31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1,00</w:t>
            </w:r>
          </w:p>
        </w:tc>
      </w:tr>
      <w:tr w:rsidR="00EE4001">
        <w:trPr>
          <w:trHeight w:val="449"/>
        </w:trPr>
        <w:tc>
          <w:tcPr>
            <w:tcW w:w="1204" w:type="pct"/>
            <w:gridSpan w:val="3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Итого по программе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207 126,71</w:t>
            </w:r>
          </w:p>
        </w:tc>
        <w:tc>
          <w:tcPr>
            <w:tcW w:w="433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206 004,36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197 198,39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95,73</w:t>
            </w:r>
          </w:p>
        </w:tc>
        <w:tc>
          <w:tcPr>
            <w:tcW w:w="2157" w:type="pct"/>
            <w:gridSpan w:val="5"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E4001">
        <w:trPr>
          <w:trHeight w:val="533"/>
        </w:trPr>
        <w:tc>
          <w:tcPr>
            <w:tcW w:w="150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1 «Повышение эффективности управления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муниципальными финансами»</w:t>
            </w: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493,00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493,00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493,00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менее 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Минимальный объем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10,5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21,50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Доля автоматизированных рабочих мест, подключенных к общим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информационным системам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4. Доля опубликованной информации (формуляров) на едином портале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 xml:space="preserve">бюджетной системы Российской Федерации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с требованиями Минфина России 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3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522,00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522,00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522,00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1. Доля главных администраторов средств бюджета 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менее 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0,80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Минимальный объем охваченных контрольными мероприятиями средств бюджета ЗАТО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Северск в общем объеме бюджетных ассигнований, являющихся объектом муниципального финансового контроля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10,5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4,71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0,45</w:t>
            </w:r>
          </w:p>
        </w:tc>
      </w:tr>
      <w:tr w:rsidR="00EE4001">
        <w:trPr>
          <w:trHeight w:val="5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3. Доля автоматизированных рабочих мест, подключенных к общим информационным системам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4. Доля опубликованной информации (формуляров) на едином портале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 xml:space="preserve">бюджетной системы Российской Федерации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с требованиями Минфина России 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3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510,68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510,68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510,68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менее 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являющихся объектом муниципального финансового контроля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10,6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15,38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3. Доля автоматизированных рабочих мест, подключенных к общим информационным системам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4. Доля опубликованной информации (формуляров) на едином портале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 xml:space="preserve">бюджетной системы Российской Федерации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с требованиями Минфина России 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3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705,63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705,63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705,55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Доля главных администраторов средств бюджета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ЗАТО Северск, показавших положительную динамику оценки качества финансового менеджмента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менее 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0,80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являющихся объектом муниципального финансового контроля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10,7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3,8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0,36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3. Доля автоматизированных рабочих мест, подключенных к общим информационным системам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4. Доля опубликованной информации (формуляров) на едином портале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 xml:space="preserve">бюджетной системы Российской Федерации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соответствии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с требованиями Минфина России 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83"/>
        </w:trPr>
        <w:tc>
          <w:tcPr>
            <w:tcW w:w="1204" w:type="pct"/>
            <w:gridSpan w:val="3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Итого по подпрограмме 1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2 231,31</w:t>
            </w:r>
          </w:p>
        </w:tc>
        <w:tc>
          <w:tcPr>
            <w:tcW w:w="433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2 231,31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2 231,23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2157" w:type="pct"/>
            <w:gridSpan w:val="5"/>
            <w:shd w:val="clear" w:color="auto" w:fill="auto"/>
          </w:tcPr>
          <w:p w:rsidR="00EE4001" w:rsidRDefault="00EE4001">
            <w:pPr>
              <w:spacing w:after="0"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E4001">
        <w:trPr>
          <w:trHeight w:val="1027"/>
        </w:trPr>
        <w:tc>
          <w:tcPr>
            <w:tcW w:w="150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«Обеспечение долговой устойчивости бюджета ЗАТО Северск»</w:t>
            </w:r>
          </w:p>
        </w:tc>
        <w:tc>
          <w:tcPr>
            <w:tcW w:w="33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14 638,91</w:t>
            </w:r>
          </w:p>
        </w:tc>
        <w:tc>
          <w:tcPr>
            <w:tcW w:w="433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14 638,91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14 117,10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по дополнительным нормативам отчислений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40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28,57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19 258,44</w:t>
            </w:r>
          </w:p>
        </w:tc>
        <w:tc>
          <w:tcPr>
            <w:tcW w:w="433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19 258,44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19 204,92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99,7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по дополнительным нормативам отчислений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40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28,09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811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17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493,77</w:t>
            </w:r>
          </w:p>
        </w:tc>
        <w:tc>
          <w:tcPr>
            <w:tcW w:w="433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17 493,77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12 088,00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69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по дополнительным нормативам отчислений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ее 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26,40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29 281,84</w:t>
            </w:r>
          </w:p>
        </w:tc>
        <w:tc>
          <w:tcPr>
            <w:tcW w:w="433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28 587,21</w:t>
            </w:r>
          </w:p>
        </w:tc>
        <w:tc>
          <w:tcPr>
            <w:tcW w:w="432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28 556,80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99,9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Объем муниципального долга на конец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к годовому объему доходов бюджета ЗАТО Северск без учета объема безвозмездных поступлений и (или) поступлений налоговых доходов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по дополнительным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нормативам отчислений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50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29,56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358"/>
        </w:trPr>
        <w:tc>
          <w:tcPr>
            <w:tcW w:w="1204" w:type="pct"/>
            <w:gridSpan w:val="3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2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80 672,96</w:t>
            </w:r>
          </w:p>
        </w:tc>
        <w:tc>
          <w:tcPr>
            <w:tcW w:w="433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79 978,33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73 966,82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92,48</w:t>
            </w:r>
          </w:p>
        </w:tc>
        <w:tc>
          <w:tcPr>
            <w:tcW w:w="2157" w:type="pct"/>
            <w:gridSpan w:val="5"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E4001">
        <w:trPr>
          <w:trHeight w:val="1027"/>
        </w:trPr>
        <w:tc>
          <w:tcPr>
            <w:tcW w:w="150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Подпрограмма 3 «Обеспечивающая подпрограмма»</w:t>
            </w: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27 020,17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27 020,17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26 983,54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Полнота исполнения расходных обязательств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(без учета субвенций, субсидий и иных МБТ, имеющих целевое назначение)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94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99,2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Равномерность исполнения расходов в течение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соответствии с кассовым планом (удельный вес расходов 4 квартала)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25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25,54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0,98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3. Просроченная кредиторская задолженность казенных учреждений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тыс. 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4. Обеспечение устранения выявленных финансовых нарушений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88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25,38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0,29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5. Своевременность предоставления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 соблюдение требований по экономической, бухгалтерской, бюджетной, статистической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и налоговой отчетности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соответствующие органы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28 957,81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28 957,81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28 769,63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99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Полнота исполнения расходных обязательств (без учета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субвенций, субсидий и иных МБТ, имеющих целевое назначение)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98,56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Равномерность исполнения расходов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течение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соответствии с кассовым планом (удельный вес расходов 4 квартала)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25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26,15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0,96</w:t>
            </w:r>
          </w:p>
        </w:tc>
      </w:tr>
      <w:tr w:rsidR="00EE4001">
        <w:trPr>
          <w:trHeight w:val="5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Просроченная кредиторская задолженность казенных учреждений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тыс. 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27"/>
        </w:trPr>
        <w:tc>
          <w:tcPr>
            <w:tcW w:w="150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4. Обеспечение устранения выявленных финансовых нарушений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88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64,87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0,74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5. Своевременность предоставления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 соблюдение требований по экономической, бухгалтерской, бюджетной, статистической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и налоговой отчетности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соответствующие органы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33 796,20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33 796,20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31 623,80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94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Полнота исполнения расходных обязательств (без учета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субвенций, субсидий и иных МБТ, имеющих целевое назначение)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96,16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Равномерность исполнения расходов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течение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соответствии с кассовым планом (удельный вес расходов 4 квартала)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25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27,22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0,92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Просроченная кредиторская задолженность казенных учреждений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тыс. 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4. Обеспечение устранения выявленных финансовых нарушений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89</w:t>
            </w:r>
          </w:p>
        </w:tc>
        <w:tc>
          <w:tcPr>
            <w:tcW w:w="307" w:type="pct"/>
            <w:shd w:val="clear" w:color="000000" w:fill="FFFFFF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61,62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0,69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5. Своевременность предоставления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 соблюдение требований по экономической, бухгалтерской, бюджетной, статистической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и налоговой отчетности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соответствующие органы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27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34 448,26</w:t>
            </w:r>
          </w:p>
        </w:tc>
        <w:tc>
          <w:tcPr>
            <w:tcW w:w="433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34 020,54</w:t>
            </w:r>
          </w:p>
        </w:tc>
        <w:tc>
          <w:tcPr>
            <w:tcW w:w="432" w:type="pct"/>
            <w:vMerge w:val="restar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33 623,37</w:t>
            </w:r>
          </w:p>
        </w:tc>
        <w:tc>
          <w:tcPr>
            <w:tcW w:w="342" w:type="pct"/>
            <w:vMerge w:val="restar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98,8</w:t>
            </w: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Полнота исполнения расходных обязательств (без учета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субвенций, субсидий и иных МБТ, имеющих целевое назначение)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96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98,69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Равномерность исполнения расходов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в течение года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соответствии с кассовым планом (удельный вес расходов 4 квартала)</w:t>
            </w:r>
          </w:p>
        </w:tc>
        <w:tc>
          <w:tcPr>
            <w:tcW w:w="246" w:type="pct"/>
            <w:shd w:val="clear" w:color="auto" w:fill="auto"/>
            <w:hideMark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Не более 25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25,39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0,98</w:t>
            </w:r>
          </w:p>
        </w:tc>
      </w:tr>
      <w:tr w:rsidR="00EE4001">
        <w:trPr>
          <w:trHeight w:val="1053"/>
        </w:trPr>
        <w:tc>
          <w:tcPr>
            <w:tcW w:w="150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Просроченная кредиторская задолженность казенных учреждений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тыс. руб.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782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4. Обеспечение устранения выявленных финансовых нарушений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89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32,91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0,37</w:t>
            </w:r>
          </w:p>
        </w:tc>
      </w:tr>
      <w:tr w:rsidR="00EE4001">
        <w:trPr>
          <w:trHeight w:val="566"/>
        </w:trPr>
        <w:tc>
          <w:tcPr>
            <w:tcW w:w="150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718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36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3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32" w:type="pct"/>
            <w:vMerge/>
            <w:shd w:val="clear" w:color="auto" w:fill="auto"/>
            <w:hideMark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42" w:type="pct"/>
            <w:vMerge/>
          </w:tcPr>
          <w:p w:rsidR="00EE4001" w:rsidRDefault="00EE4001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14" w:type="pct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5. Своевременность предоставления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 соблюдение требований по экономической, бухгалтерской, бюджетной, статистической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 xml:space="preserve">и налоговой отчетности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br/>
              <w:t>в соответствующие органы</w:t>
            </w:r>
          </w:p>
        </w:tc>
        <w:tc>
          <w:tcPr>
            <w:tcW w:w="246" w:type="pct"/>
            <w:shd w:val="clear" w:color="auto" w:fill="auto"/>
          </w:tcPr>
          <w:p w:rsidR="00EE4001" w:rsidRDefault="00633DE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проц.</w:t>
            </w:r>
          </w:p>
        </w:tc>
        <w:tc>
          <w:tcPr>
            <w:tcW w:w="278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07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100</w:t>
            </w:r>
          </w:p>
        </w:tc>
        <w:tc>
          <w:tcPr>
            <w:tcW w:w="31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1,00</w:t>
            </w:r>
          </w:p>
        </w:tc>
      </w:tr>
      <w:tr w:rsidR="00EE4001">
        <w:trPr>
          <w:trHeight w:val="566"/>
        </w:trPr>
        <w:tc>
          <w:tcPr>
            <w:tcW w:w="1204" w:type="pct"/>
            <w:gridSpan w:val="3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подпрограмме 3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124 222,44</w:t>
            </w:r>
          </w:p>
        </w:tc>
        <w:tc>
          <w:tcPr>
            <w:tcW w:w="433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123 794,72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121 000,34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97,74</w:t>
            </w:r>
          </w:p>
        </w:tc>
        <w:tc>
          <w:tcPr>
            <w:tcW w:w="2157" w:type="pct"/>
            <w:gridSpan w:val="5"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E4001">
        <w:trPr>
          <w:trHeight w:val="566"/>
        </w:trPr>
        <w:tc>
          <w:tcPr>
            <w:tcW w:w="1204" w:type="pct"/>
            <w:gridSpan w:val="3"/>
            <w:shd w:val="clear" w:color="auto" w:fill="auto"/>
          </w:tcPr>
          <w:p w:rsidR="00EE4001" w:rsidRDefault="00633DE6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207 126,71</w:t>
            </w:r>
          </w:p>
        </w:tc>
        <w:tc>
          <w:tcPr>
            <w:tcW w:w="433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206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004,36</w:t>
            </w:r>
          </w:p>
        </w:tc>
        <w:tc>
          <w:tcPr>
            <w:tcW w:w="43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197 198,39</w:t>
            </w:r>
          </w:p>
        </w:tc>
        <w:tc>
          <w:tcPr>
            <w:tcW w:w="342" w:type="pct"/>
            <w:shd w:val="clear" w:color="auto" w:fill="auto"/>
          </w:tcPr>
          <w:p w:rsidR="00EE4001" w:rsidRDefault="00633DE6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95,73</w:t>
            </w:r>
          </w:p>
        </w:tc>
        <w:tc>
          <w:tcPr>
            <w:tcW w:w="2157" w:type="pct"/>
            <w:gridSpan w:val="5"/>
            <w:shd w:val="clear" w:color="auto" w:fill="auto"/>
          </w:tcPr>
          <w:p w:rsidR="00EE4001" w:rsidRDefault="00EE4001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E4001" w:rsidRDefault="00EE4001"/>
    <w:sectPr w:rsidR="00EE4001">
      <w:headerReference w:type="default" r:id="rId8"/>
      <w:footerReference w:type="default" r:id="rId9"/>
      <w:footerReference w:type="first" r:id="rId10"/>
      <w:pgSz w:w="16838" w:h="11906" w:orient="landscape" w:code="9"/>
      <w:pgMar w:top="1701" w:right="567" w:bottom="1191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DE6" w:rsidRDefault="00633DE6">
      <w:pPr>
        <w:spacing w:after="0" w:line="240" w:lineRule="auto"/>
      </w:pPr>
      <w:r>
        <w:separator/>
      </w:r>
    </w:p>
  </w:endnote>
  <w:endnote w:type="continuationSeparator" w:id="0">
    <w:p w:rsidR="00633DE6" w:rsidRDefault="00633D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001" w:rsidRDefault="00633DE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0348265</w:t>
    </w:r>
  </w:p>
  <w:p w:rsidR="00EE4001" w:rsidRDefault="00EE4001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001" w:rsidRDefault="00633DE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0348265</w:t>
    </w:r>
  </w:p>
  <w:p w:rsidR="00EE4001" w:rsidRDefault="00EE400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DE6" w:rsidRDefault="00633DE6">
      <w:pPr>
        <w:spacing w:after="0" w:line="240" w:lineRule="auto"/>
      </w:pPr>
      <w:r>
        <w:separator/>
      </w:r>
    </w:p>
  </w:footnote>
  <w:footnote w:type="continuationSeparator" w:id="0">
    <w:p w:rsidR="00633DE6" w:rsidRDefault="00633D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13108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4001" w:rsidRDefault="00633DE6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>PAGE   \* MERGEFORMAT</w:instrText>
        </w:r>
        <w:r>
          <w:rPr>
            <w:rFonts w:ascii="Times New Roman" w:hAnsi="Times New Roman" w:cs="Times New Roman"/>
          </w:rPr>
          <w:fldChar w:fldCharType="separate"/>
        </w:r>
        <w:r w:rsidR="000661DF">
          <w:rPr>
            <w:rFonts w:ascii="Times New Roman" w:hAnsi="Times New Roman" w:cs="Times New Roman"/>
            <w:noProof/>
          </w:rPr>
          <w:t>14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:rsidR="00EE4001" w:rsidRDefault="00EE400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001"/>
    <w:rsid w:val="000661DF"/>
    <w:rsid w:val="00633DE6"/>
    <w:rsid w:val="00EE4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9C6D7E-F8AD-45F7-8929-5895CD963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rFonts w:ascii="PT Astra Serif" w:hAnsi="PT Astra Serif"/>
      <w:sz w:val="24"/>
    </w:rPr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Pr>
      <w:rFonts w:ascii="PT Astra Serif" w:hAnsi="PT Astra Serif"/>
      <w:sz w:val="24"/>
    </w:rPr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Pr>
      <w:rFonts w:ascii="PT Astra Serif" w:hAnsi="PT Astra Serif"/>
      <w:sz w:val="24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418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E240FD-293E-4F67-93EF-9AD6587B9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14</Pages>
  <Words>1628</Words>
  <Characters>9282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chikarev</dc:creator>
  <cp:keywords/>
  <dc:description/>
  <cp:lastModifiedBy>Anna A. Lebedeva</cp:lastModifiedBy>
  <cp:revision>29</cp:revision>
  <cp:lastPrinted>2025-05-29T10:13:00Z</cp:lastPrinted>
  <dcterms:created xsi:type="dcterms:W3CDTF">2025-05-12T07:29:00Z</dcterms:created>
  <dcterms:modified xsi:type="dcterms:W3CDTF">2025-06-03T03:02:00Z</dcterms:modified>
</cp:coreProperties>
</file>