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1052"/>
        <w:gridCol w:w="3508"/>
      </w:tblGrid>
      <w:tr>
        <w:tblPrEx/>
        <w:trPr/>
        <w:tc>
          <w:tcPr>
            <w:tcW w:w="1105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50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br/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к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аспоряжению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т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__05.10.2026__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__882-ра_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1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УТВЕРЖДЕН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аспоряжением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15.12.2025 № 1168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-ра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314"/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Развитие инфраструктуры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детского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отдыха и оздоровления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top w:w="0" w:type="dxa"/>
          <w:right w:w="62" w:type="dxa"/>
          <w:bottom w:w="0" w:type="dxa"/>
        </w:tblCellMar>
        <w:tblLook w:val="0000" w:firstRow="0" w:lastRow="0" w:firstColumn="0" w:lastColumn="0" w:noHBand="0" w:noVBand="0"/>
      </w:tblPr>
      <w:tblGrid>
        <w:gridCol w:w="6941"/>
        <w:gridCol w:w="7664"/>
      </w:tblGrid>
      <w:tr>
        <w:tblPrEx/>
        <w:trPr>
          <w:trHeight w:val="7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молодежной и семейной политики, физической культуры 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спорта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Молодежная политика в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6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Семейная политика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12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61" w:type="pct"/>
        <w:tblCellMar>
          <w:left w:w="62" w:type="dxa"/>
          <w:top w:w="0" w:type="dxa"/>
          <w:right w:w="62" w:type="dxa"/>
          <w:bottom w:w="0" w:type="dxa"/>
        </w:tblCellMar>
        <w:tblLook w:val="0000" w:firstRow="0" w:lastRow="0" w:firstColumn="0" w:lastColumn="0" w:noHBand="0" w:noVBand="0"/>
      </w:tblPr>
      <w:tblGrid>
        <w:gridCol w:w="494"/>
        <w:gridCol w:w="3004"/>
        <w:gridCol w:w="3702"/>
        <w:gridCol w:w="1200"/>
        <w:gridCol w:w="949"/>
        <w:gridCol w:w="1925"/>
        <w:gridCol w:w="1928"/>
        <w:gridCol w:w="1536"/>
      </w:tblGrid>
      <w:tr>
        <w:tblPrEx/>
        <w:trPr>
          <w:trHeight w:val="46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8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9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56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7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50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0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2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trike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trike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" w:type="pct"/>
            <w:textDirection w:val="lrTb"/>
            <w:noWrap w:val="false"/>
          </w:tcPr>
          <w:p>
            <w:pPr>
              <w:pStyle w:val="914"/>
              <w:contextualSpacing w:val="0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4" w:type="pct"/>
            <w:textDirection w:val="lrTb"/>
            <w:noWrap w:val="false"/>
          </w:tcPr>
          <w:p>
            <w:pPr>
              <w:pStyle w:val="914"/>
              <w:contextualSpacing w:val="0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pStyle w:val="914"/>
              <w:contextualSpacing w:val="0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прогнозный период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pct"/>
            <w:textDirection w:val="lrTb"/>
            <w:noWrap w:val="false"/>
          </w:tcPr>
          <w:p>
            <w:pPr>
              <w:pStyle w:val="914"/>
              <w:contextualSpacing w:val="0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8" w:type="pct"/>
            <w:textDirection w:val="lrTb"/>
            <w:noWrap w:val="false"/>
          </w:tcPr>
          <w:p>
            <w:pPr>
              <w:pStyle w:val="914"/>
              <w:contextualSpacing w:val="0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3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8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19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Количество капитально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отремонтированных,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contextualSpacing w:val="0"/>
              <w:ind w:left="0" w:right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вновь построенных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contextualSpacing w:val="0"/>
              <w:ind w:left="0" w:right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зданий (сооружений)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56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7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2" w:type="pct"/>
            <w:vMerge w:val="restar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4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9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4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contextualSpacing w:val="0"/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12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мероприятий 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13" w:type="pct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left w:w="62" w:type="dxa"/>
          <w:top w:w="0" w:type="dxa"/>
          <w:right w:w="62" w:type="dxa"/>
          <w:bottom w:w="0" w:type="dxa"/>
        </w:tblCellMar>
        <w:tblLook w:val="0000" w:firstRow="0" w:lastRow="0" w:firstColumn="0" w:lastColumn="0" w:noHBand="0" w:noVBand="0"/>
      </w:tblPr>
      <w:tblGrid>
        <w:gridCol w:w="450"/>
        <w:gridCol w:w="5214"/>
        <w:gridCol w:w="2619"/>
        <w:gridCol w:w="1200"/>
        <w:gridCol w:w="861"/>
        <w:gridCol w:w="1454"/>
        <w:gridCol w:w="1366"/>
        <w:gridCol w:w="1434"/>
      </w:tblGrid>
      <w:tr>
        <w:tblPrEx/>
        <w:trPr>
          <w:trHeight w:val="320"/>
        </w:trPr>
        <w:tc>
          <w:tcPr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4"/>
            <w:tcMar>
              <w:top w:w="11" w:type="dxa"/>
              <w:bottom w:w="11" w:type="dxa"/>
            </w:tcMar>
            <w:tcW w:w="1752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прогнозный период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Mar>
              <w:top w:w="11" w:type="dxa"/>
              <w:bottom w:w="11" w:type="dxa"/>
            </w:tcMar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gridSpan w:val="3"/>
            <w:tcMar>
              <w:top w:w="11" w:type="dxa"/>
              <w:bottom w:w="11" w:type="dxa"/>
            </w:tcMar>
            <w:tcW w:w="1457" w:type="pct"/>
            <w:textDirection w:val="lrTb"/>
            <w:noWrap w:val="false"/>
          </w:tcPr>
          <w:p>
            <w:pPr>
              <w:pStyle w:val="914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потребностью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62"/>
        </w:trPr>
        <w:tc>
          <w:tcPr>
            <w:tcMar>
              <w:top w:w="11" w:type="dxa"/>
              <w:bottom w:w="11" w:type="dxa"/>
            </w:tcMar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gridSpan w:val="3"/>
            <w:tcMar>
              <w:top w:w="11" w:type="dxa"/>
              <w:bottom w:w="11" w:type="dxa"/>
            </w:tcMar>
            <w:tcW w:w="1457" w:type="pct"/>
            <w:textDirection w:val="lrTb"/>
            <w:noWrap w:val="false"/>
          </w:tcPr>
          <w:p>
            <w:pPr>
              <w:pStyle w:val="914"/>
              <w:ind w:left="0" w:right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1"/>
        </w:trPr>
        <w:tc>
          <w:tcPr>
            <w:tcMar>
              <w:top w:w="11" w:type="dxa"/>
              <w:bottom w:w="11" w:type="dxa"/>
            </w:tcMar>
            <w:tcW w:w="154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pacing w:val="-8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pacing w:val="-8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pacing w:val="-8"/>
                <w:sz w:val="24"/>
                <w:szCs w:val="24"/>
              </w:rPr>
            </w:r>
            <w:r>
              <w:rPr>
                <w:rFonts w:ascii="PT Astra Serif" w:hAnsi="PT Astra Serif" w:cs="PT Astra Serif"/>
                <w:spacing w:val="-8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6"/>
        </w:trPr>
        <w:tc>
          <w:tcPr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столовой в СЛ «Юность» МАУ ЗАТО Северск ДОЛ «Восход» 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объектов, введенных в эксплуатацию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2"/>
        </w:trPr>
        <w:tc>
          <w:tcPr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жилого корпуса в СЛ «Юность» МАУ ЗАТО Северск ДОЛ «Восход» 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объектов, введенных в эксплуатацию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125"/>
        </w:trPr>
        <w:tc>
          <w:tcPr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275"/>
        </w:trPr>
        <w:tc>
          <w:tcPr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8" w:space="0"/>
            </w:tcBorders>
            <w:tcMar>
              <w:top w:w="11" w:type="dxa"/>
              <w:bottom w:w="11" w:type="dxa"/>
            </w:tcMar>
            <w:tcW w:w="1786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комплексной спортивной площадки МАУ ЗАТО Северск ДОЛ «Зеленый мыс»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объектов, введенных в эксплуатацию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69"/>
        </w:trPr>
        <w:tc>
          <w:tcPr>
            <w:tcBorders>
              <w:right w:val="single" w:color="000000" w:sz="8" w:space="0"/>
            </w:tcBorders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1" w:type="dxa"/>
              <w:bottom w:w="11" w:type="dxa"/>
            </w:tcMar>
            <w:tcW w:w="17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8" w:space="0"/>
            </w:tcBorders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105"/>
        </w:trPr>
        <w:tc>
          <w:tcPr>
            <w:tcBorders>
              <w:right w:val="single" w:color="000000" w:sz="8" w:space="0"/>
            </w:tcBorders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1" w:type="dxa"/>
              <w:bottom w:w="11" w:type="dxa"/>
            </w:tcMar>
            <w:tcW w:w="1786" w:type="pct"/>
            <w:vAlign w:val="center"/>
            <w:vMerge w:val="restart"/>
            <w:textDirection w:val="lrTb"/>
            <w:noWrap w:val="false"/>
          </w:tcPr>
          <w:p>
            <w:pPr>
              <w:ind w:left="0" w:right="0"/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Строительство открытого летнего бассейна МАУ ЗАТО Северск ДОЛ «Восход»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Borders>
              <w:left w:val="single" w:color="000000" w:sz="8" w:space="0"/>
            </w:tcBorders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объектов, введенных в эксплуатацию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455"/>
        </w:trPr>
        <w:tc>
          <w:tcPr>
            <w:tcBorders>
              <w:right w:val="single" w:color="000000" w:sz="8" w:space="0"/>
            </w:tcBorders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1" w:type="dxa"/>
              <w:bottom w:w="11" w:type="dxa"/>
            </w:tcMar>
            <w:tcW w:w="17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8" w:space="0"/>
            </w:tcBorders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339"/>
        </w:trPr>
        <w:tc>
          <w:tcPr>
            <w:tcMar>
              <w:top w:w="11" w:type="dxa"/>
              <w:bottom w:w="11" w:type="dxa"/>
            </w:tcMar>
            <w:tcW w:w="154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«Восход» по адресу: Томская область, Томский район,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д.Большое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Протопопово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строение 10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выполненных капитальных ремонтов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vAlign w:val="top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332"/>
        </w:trPr>
        <w:tc>
          <w:tcPr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57"/>
        </w:trPr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50" w:type="dxa"/>
            <w:vAlign w:val="top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pStyle w:val="914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5217" w:type="dxa"/>
            <w:vAlign w:val="top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  <w:p>
            <w:pPr>
              <w:pStyle w:val="914"/>
              <w:rPr>
                <w:rFonts w:ascii="PT Astra Serif" w:hAnsi="PT Astra Serif" w:eastAsia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262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 Количество возведен-ных некапитальных объектов (быстровозводимых конструкций)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120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861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1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283"/>
        </w:trPr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154" w:type="pct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1786" w:type="pct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897" w:type="pct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11" w:type="pct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295" w:type="pct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W w:w="46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1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</w:tr>
      <w:tr>
        <w:tblPrEx/>
        <w:trPr>
          <w:trHeight w:val="57"/>
        </w:trPr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154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1786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897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pacing w:val="-8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pacing w:val="-8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pacing w:val="-8"/>
                <w:sz w:val="24"/>
                <w:szCs w:val="24"/>
              </w:rPr>
            </w:r>
            <w:r>
              <w:rPr>
                <w:rFonts w:ascii="PT Astra Serif" w:hAnsi="PT Astra Serif" w:cs="PT Astra Serif"/>
                <w:spacing w:val="-8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11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295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62" w:type="dxa"/>
              <w:top w:w="11" w:type="dxa"/>
              <w:right w:w="62" w:type="dxa"/>
              <w:bottom w:w="11" w:type="dxa"/>
            </w:tcMar>
            <w:tcW w:w="491" w:type="pct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top w:w="11" w:type="dxa"/>
              <w:bottom w:w="11" w:type="dxa"/>
            </w:tcMar>
            <w:tcW w:w="1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restart"/>
            <w:textDirection w:val="lrTb"/>
            <w:noWrap w:val="false"/>
          </w:tcPr>
          <w:p>
            <w:pPr>
              <w:ind w:left="0" w:right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 Вместимость некапитальных объектов (быстровозводимых конструкций)</w:t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restar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7"/>
        </w:trPr>
        <w:tc>
          <w:tcPr>
            <w:tcMar>
              <w:top w:w="11" w:type="dxa"/>
              <w:bottom w:w="11" w:type="dxa"/>
            </w:tcMar>
            <w:tcW w:w="1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178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8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Mar>
              <w:top w:w="11" w:type="dxa"/>
              <w:bottom w:w="11" w:type="dxa"/>
            </w:tcMar>
            <w:tcW w:w="49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68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11" w:type="dxa"/>
              <w:bottom w:w="11" w:type="dxa"/>
            </w:tcMar>
            <w:tcW w:w="491" w:type="pct"/>
            <w:textDirection w:val="lrTb"/>
            <w:noWrap w:val="false"/>
          </w:tcPr>
          <w:p>
            <w:pPr>
              <w:ind w:left="0" w:right="0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br w:type="page" w:clear="all"/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ФИНАНСОВОЕ ОБЕСПЕЧЕНИЕ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12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11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3256"/>
        <w:gridCol w:w="2170"/>
        <w:gridCol w:w="4776"/>
        <w:gridCol w:w="1559"/>
        <w:gridCol w:w="1583"/>
        <w:gridCol w:w="1536"/>
      </w:tblGrid>
      <w:tr>
        <w:tblPrEx/>
        <w:trPr>
          <w:trHeight w:val="459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финансового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3"/>
            <w:tcMar>
              <w:left w:w="28" w:type="dxa"/>
              <w:top w:w="0" w:type="dxa"/>
              <w:right w:w="28" w:type="dxa"/>
              <w:bottom w:w="0" w:type="dxa"/>
            </w:tcMar>
            <w:tcW w:w="157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34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прогнозный период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Mar>
              <w:left w:w="28" w:type="dxa"/>
              <w:top w:w="0" w:type="dxa"/>
              <w:right w:w="28" w:type="dxa"/>
              <w:bottom w:w="0" w:type="dxa"/>
            </w:tcMar>
            <w:tcW w:w="157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4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Mar>
              <w:left w:w="28" w:type="dxa"/>
              <w:top w:w="0" w:type="dxa"/>
              <w:right w:w="28" w:type="dxa"/>
              <w:bottom w:w="0" w:type="dxa"/>
            </w:tcMar>
            <w:tcW w:w="157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trike w:val="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  <w:tc>
          <w:tcPr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contextualSpacing w:val="0"/>
              <w:jc w:val="center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ind w:right="-31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Развитие инфраструктуры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-31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детского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отдыха и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-314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оздоровления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101 482,85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331 718,51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7 177,10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39 418,50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35 047,40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35 047,40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21 188,63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4 331,70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101 482,85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275 482,48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7 177,10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38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5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столовой в СЛ «Юность»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Северск ДОЛ «Восход»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155 006,44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155 006,44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71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8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trike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  <w:tc>
          <w:tcPr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жилого корпуса в СЛ «Юность»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ДОЛ «Восход»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104 171,67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9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104 171,67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85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Строительство комплексной спортивной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площадки МАУ ЗАТО Северск ДОЛ «Зеленый мыс»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УМСП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Администрации ЗАТО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Северск, МАУ ЗАТО Северск ДОЛ «Зеленый мыс»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6 796,88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115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30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15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6 796,88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582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79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Строительство открытого летнего бассейна 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PT Astra Serif" w:hAnsi="PT Astra Serif" w:eastAsia="PT Astra Serif" w:cs="PT Astra Serif" w:eastAsiaTheme="minorEastAsia"/>
                <w:sz w:val="24"/>
                <w:szCs w:val="24"/>
                <w:lang w:eastAsia="ru-RU"/>
              </w:rPr>
              <w:t xml:space="preserve"> ЗАТО Северск ДОЛ «Восход»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3 504,37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3 504,37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964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98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trike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  <w:tc>
          <w:tcPr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Капитальный ремонт очистных сооружений бытовых сточных вод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ДОЛ «Восход» по адресу: Томская область, Томский район,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д.Большое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Протопопово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строение 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УКС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МАУ ЗАТО Северск ДОЛ «Восход»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94 685,97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7 177,10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94 685,97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7 177,10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Создание некапитальных объектов (быстровозводимых конструкций) для отдыха детей на территории ДОЛ «Зеленый мыс»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МАУ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ДОЛ «Зеленый мыс»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</w:rPr>
              <w:t xml:space="preserve">УМСП 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</w:rPr>
              <w:t xml:space="preserve">ФКиС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</w:rPr>
              <w:t xml:space="preserve"> Администрации ЗАТО Северск,</w:t>
            </w:r>
            <w:r>
              <w:rPr>
                <w:rFonts w:ascii="PT Astra Serif" w:hAnsi="PT Astra Serif" w:eastAsia="PT Astra Serif" w:cs="PT Astra Serif"/>
                <w:spacing w:val="-6"/>
                <w:sz w:val="24"/>
                <w:szCs w:val="24"/>
              </w:rPr>
              <w:t xml:space="preserve"> МАУ ЗАТО Северск ДОЛ «Зеленый мыс»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69 036,03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39 418,50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35 047,40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35 047,40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21 188,63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4 331,70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restar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12 800,00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9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39,40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094" w:type="pct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729" w:type="pct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left w:w="28" w:type="dxa"/>
              <w:top w:w="0" w:type="dxa"/>
              <w:right w:w="28" w:type="dxa"/>
              <w:bottom w:w="0" w:type="dxa"/>
            </w:tcMar>
            <w:tcW w:w="1605" w:type="pct"/>
            <w:textDirection w:val="lrTb"/>
            <w:noWrap w:val="false"/>
          </w:tcPr>
          <w:p>
            <w:pPr>
              <w:pStyle w:val="914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24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bottom w:w="0" w:type="dxa"/>
            </w:tcMar>
            <w:tcW w:w="532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top w:w="0" w:type="dxa"/>
              <w:right w:w="28" w:type="dxa"/>
              <w:bottom w:w="0" w:type="dxa"/>
            </w:tcMar>
            <w:tcW w:w="516" w:type="pct"/>
            <w:textDirection w:val="lrTb"/>
            <w:noWrap w:val="false"/>
          </w:tcPr>
          <w:p>
            <w:pPr>
              <w:pStyle w:val="9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284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rPr>
        <w:rFonts w:ascii="PT Astra Serif" w:hAnsi="PT Astra Serif" w:cs="PT Astra Serif"/>
        <w:sz w:val="20"/>
      </w:rPr>
    </w:pPr>
    <w:r>
      <w:rPr>
        <w:rFonts w:ascii="PT Astra Serif" w:hAnsi="PT Astra Serif" w:eastAsia="PT Astra Serif" w:cs="PT Astra Serif"/>
        <w:sz w:val="20"/>
      </w:rPr>
      <w:t xml:space="preserve">Внутренний номер: </w:t>
    </w:r>
    <w:r>
      <w:rPr>
        <w:rFonts w:ascii="PT Astra Serif" w:hAnsi="PT Astra Serif" w:eastAsia="PT Astra Serif" w:cs="PT Astra Serif"/>
        <w:sz w:val="20"/>
      </w:rPr>
      <w:t xml:space="preserve">384197</w:t>
    </w:r>
    <w:r>
      <w:rPr>
        <w:rFonts w:ascii="PT Astra Serif" w:hAnsi="PT Astra Serif" w:cs="PT Astra Serif"/>
        <w:sz w:val="20"/>
      </w:rPr>
    </w:r>
    <w:r>
      <w:rPr>
        <w:rFonts w:ascii="PT Astra Serif" w:hAnsi="PT Astra Serif" w:cs="PT Astra Serif"/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rPr>
        <w:rFonts w:ascii="Times New Roman" w:hAnsi="Times New Roman" w:cs="Times New Roman"/>
        <w:sz w:val="20"/>
        <w:szCs w:val="20"/>
        <w:highlight w:val="none"/>
      </w:rPr>
    </w:pPr>
    <w:r>
      <w:rPr>
        <w:rFonts w:ascii="Times New Roman" w:hAnsi="Times New Roman" w:cs="Times New Roman"/>
        <w:sz w:val="20"/>
      </w:rPr>
      <w:t xml:space="preserve">Внутренний номер: </w:t>
    </w:r>
    <w:r>
      <w:rPr>
        <w:rFonts w:ascii="Times New Roman" w:hAnsi="Times New Roman" w:cs="Times New Roman"/>
        <w:sz w:val="20"/>
      </w:rPr>
      <w:t xml:space="preserve">384197</w:t>
    </w:r>
    <w:r>
      <w:rPr>
        <w:rFonts w:ascii="Times New Roman" w:hAnsi="Times New Roman" w:cs="Times New Roman"/>
        <w:sz w:val="20"/>
        <w:szCs w:val="20"/>
        <w:highlight w:val="none"/>
      </w:rPr>
    </w:r>
    <w:r>
      <w:rPr>
        <w:rFonts w:ascii="Times New Roman" w:hAnsi="Times New Roman" w:cs="Times New Roman"/>
        <w:sz w:val="20"/>
        <w:szCs w:val="20"/>
        <w:highlight w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>
    <w:name w:val="Heading 1"/>
    <w:basedOn w:val="905"/>
    <w:next w:val="905"/>
    <w:link w:val="73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2">
    <w:name w:val="Heading 1 Char"/>
    <w:basedOn w:val="906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905"/>
    <w:next w:val="905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4">
    <w:name w:val="Heading 2 Char"/>
    <w:basedOn w:val="906"/>
    <w:link w:val="733"/>
    <w:uiPriority w:val="9"/>
    <w:rPr>
      <w:rFonts w:ascii="Liberation Sans" w:hAnsi="Liberation Sans" w:eastAsia="Liberation Sans" w:cs="Liberation Sans"/>
      <w:sz w:val="34"/>
    </w:rPr>
  </w:style>
  <w:style w:type="paragraph" w:styleId="735">
    <w:name w:val="Heading 3"/>
    <w:basedOn w:val="905"/>
    <w:next w:val="905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6">
    <w:name w:val="Heading 3 Char"/>
    <w:basedOn w:val="906"/>
    <w:link w:val="73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7">
    <w:name w:val="Heading 4"/>
    <w:basedOn w:val="905"/>
    <w:next w:val="905"/>
    <w:link w:val="73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>
    <w:name w:val="Heading 4 Char"/>
    <w:basedOn w:val="906"/>
    <w:link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9">
    <w:name w:val="Heading 5"/>
    <w:basedOn w:val="905"/>
    <w:next w:val="905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0">
    <w:name w:val="Heading 5 Char"/>
    <w:basedOn w:val="906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905"/>
    <w:next w:val="905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>
    <w:name w:val="Heading 6 Char"/>
    <w:basedOn w:val="906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3">
    <w:name w:val="Heading 7"/>
    <w:basedOn w:val="905"/>
    <w:next w:val="905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4">
    <w:name w:val="Heading 7 Char"/>
    <w:basedOn w:val="906"/>
    <w:link w:val="7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5">
    <w:name w:val="Heading 8"/>
    <w:basedOn w:val="905"/>
    <w:next w:val="905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6">
    <w:name w:val="Heading 8 Char"/>
    <w:basedOn w:val="906"/>
    <w:link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7">
    <w:name w:val="Heading 9"/>
    <w:basedOn w:val="905"/>
    <w:next w:val="905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>
    <w:name w:val="Heading 9 Char"/>
    <w:basedOn w:val="906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9">
    <w:name w:val="List Paragraph"/>
    <w:basedOn w:val="905"/>
    <w:uiPriority w:val="34"/>
    <w:qFormat/>
    <w:pPr>
      <w:contextualSpacing/>
      <w:ind w:left="720"/>
    </w:pPr>
  </w:style>
  <w:style w:type="paragraph" w:styleId="750">
    <w:name w:val="Title"/>
    <w:basedOn w:val="905"/>
    <w:next w:val="905"/>
    <w:link w:val="7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1">
    <w:name w:val="Title Char"/>
    <w:basedOn w:val="906"/>
    <w:link w:val="750"/>
    <w:uiPriority w:val="10"/>
    <w:rPr>
      <w:sz w:val="48"/>
      <w:szCs w:val="48"/>
    </w:rPr>
  </w:style>
  <w:style w:type="paragraph" w:styleId="752">
    <w:name w:val="Subtitle"/>
    <w:basedOn w:val="905"/>
    <w:next w:val="905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>
    <w:name w:val="Subtitle Char"/>
    <w:basedOn w:val="906"/>
    <w:link w:val="752"/>
    <w:uiPriority w:val="11"/>
    <w:rPr>
      <w:sz w:val="24"/>
      <w:szCs w:val="24"/>
    </w:rPr>
  </w:style>
  <w:style w:type="paragraph" w:styleId="754">
    <w:name w:val="Quote"/>
    <w:basedOn w:val="905"/>
    <w:next w:val="905"/>
    <w:link w:val="755"/>
    <w:uiPriority w:val="29"/>
    <w:qFormat/>
    <w:pPr>
      <w:ind w:left="720" w:right="720"/>
    </w:pPr>
    <w:rPr>
      <w:i/>
    </w:rPr>
  </w:style>
  <w:style w:type="character" w:styleId="755">
    <w:name w:val="Quote Char"/>
    <w:link w:val="754"/>
    <w:uiPriority w:val="29"/>
    <w:rPr>
      <w:i/>
    </w:rPr>
  </w:style>
  <w:style w:type="paragraph" w:styleId="756">
    <w:name w:val="Intense Quote"/>
    <w:basedOn w:val="905"/>
    <w:next w:val="905"/>
    <w:link w:val="75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>
    <w:name w:val="Intense Quote Char"/>
    <w:link w:val="756"/>
    <w:uiPriority w:val="30"/>
    <w:rPr>
      <w:i/>
    </w:rPr>
  </w:style>
  <w:style w:type="character" w:styleId="758">
    <w:name w:val="Header Char"/>
    <w:basedOn w:val="906"/>
    <w:link w:val="910"/>
    <w:uiPriority w:val="99"/>
  </w:style>
  <w:style w:type="character" w:styleId="759">
    <w:name w:val="Footer Char"/>
    <w:basedOn w:val="906"/>
    <w:link w:val="912"/>
    <w:uiPriority w:val="99"/>
  </w:style>
  <w:style w:type="paragraph" w:styleId="760">
    <w:name w:val="Caption"/>
    <w:basedOn w:val="905"/>
    <w:next w:val="905"/>
    <w:link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1">
    <w:name w:val="Caption Char"/>
    <w:basedOn w:val="906"/>
    <w:link w:val="760"/>
    <w:uiPriority w:val="35"/>
    <w:rPr>
      <w:b/>
      <w:bCs/>
      <w:color w:val="4f81bd" w:themeColor="accent1"/>
      <w:sz w:val="18"/>
      <w:szCs w:val="18"/>
    </w:rPr>
  </w:style>
  <w:style w:type="table" w:styleId="762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4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6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8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0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1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3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5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6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0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3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4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5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6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7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8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9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0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5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6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7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8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9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0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1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3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4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5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6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7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8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9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0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61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2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3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4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65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6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68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9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0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1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72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3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75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6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7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8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79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0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1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2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3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4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5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6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7">
    <w:name w:val="Hyperlink"/>
    <w:uiPriority w:val="99"/>
    <w:unhideWhenUsed/>
    <w:rPr>
      <w:color w:val="0000ff" w:themeColor="hyperlink"/>
      <w:u w:val="single"/>
    </w:r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06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06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table" w:styleId="909">
    <w:name w:val="Table Grid"/>
    <w:basedOn w:val="9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0">
    <w:name w:val="Header"/>
    <w:basedOn w:val="905"/>
    <w:link w:val="91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6"/>
    <w:link w:val="910"/>
    <w:uiPriority w:val="99"/>
  </w:style>
  <w:style w:type="paragraph" w:styleId="912">
    <w:name w:val="Footer"/>
    <w:basedOn w:val="905"/>
    <w:link w:val="91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6"/>
    <w:link w:val="912"/>
    <w:uiPriority w:val="99"/>
  </w:style>
  <w:style w:type="paragraph" w:styleId="914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915">
    <w:name w:val="Balloon Text"/>
    <w:basedOn w:val="905"/>
    <w:link w:val="91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6" w:customStyle="1">
    <w:name w:val="Текст выноски Знак"/>
    <w:basedOn w:val="906"/>
    <w:link w:val="915"/>
    <w:uiPriority w:val="99"/>
    <w:semiHidden/>
    <w:rPr>
      <w:rFonts w:ascii="Segoe UI" w:hAnsi="Segoe UI" w:cs="Segoe UI"/>
      <w:sz w:val="18"/>
      <w:szCs w:val="18"/>
    </w:rPr>
  </w:style>
  <w:style w:type="paragraph" w:styleId="917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18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1FA07-1F4D-441E-8A0C-5463C49B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59</cp:revision>
  <dcterms:created xsi:type="dcterms:W3CDTF">2025-09-11T08:25:00Z</dcterms:created>
  <dcterms:modified xsi:type="dcterms:W3CDTF">2026-10-05T04:39:07Z</dcterms:modified>
</cp:coreProperties>
</file>