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1134" w:rsidRDefault="00BA38C7">
      <w:pPr>
        <w:widowControl w:val="0"/>
        <w:autoSpaceDE w:val="0"/>
        <w:autoSpaceDN w:val="0"/>
        <w:adjustRightInd w:val="0"/>
        <w:spacing w:after="0" w:line="240" w:lineRule="auto"/>
        <w:ind w:left="5812" w:firstLine="6095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Приложение 8</w:t>
      </w:r>
    </w:p>
    <w:p w:rsidR="007C1134" w:rsidRDefault="00BA38C7">
      <w:pPr>
        <w:widowControl w:val="0"/>
        <w:autoSpaceDE w:val="0"/>
        <w:autoSpaceDN w:val="0"/>
        <w:adjustRightInd w:val="0"/>
        <w:spacing w:after="0" w:line="240" w:lineRule="auto"/>
        <w:ind w:left="5812" w:firstLine="6095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к постановлению </w:t>
      </w:r>
    </w:p>
    <w:p w:rsidR="007C1134" w:rsidRDefault="00BA38C7">
      <w:pPr>
        <w:widowControl w:val="0"/>
        <w:autoSpaceDE w:val="0"/>
        <w:autoSpaceDN w:val="0"/>
        <w:adjustRightInd w:val="0"/>
        <w:spacing w:after="0" w:line="240" w:lineRule="auto"/>
        <w:ind w:left="5812" w:firstLine="6095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Администрации ЗАТО Северск</w:t>
      </w:r>
    </w:p>
    <w:p w:rsidR="007C1134" w:rsidRDefault="00BA38C7">
      <w:pPr>
        <w:widowControl w:val="0"/>
        <w:autoSpaceDE w:val="0"/>
        <w:autoSpaceDN w:val="0"/>
        <w:adjustRightInd w:val="0"/>
        <w:spacing w:after="0" w:line="240" w:lineRule="auto"/>
        <w:ind w:left="5812" w:firstLine="6095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от __</w:t>
      </w:r>
      <w:r w:rsidR="007D4C4D">
        <w:rPr>
          <w:rFonts w:ascii="Times New Roman" w:hAnsi="Times New Roman" w:cs="Times New Roman"/>
          <w:sz w:val="20"/>
          <w:szCs w:val="20"/>
        </w:rPr>
        <w:t>25.07.2023</w:t>
      </w:r>
      <w:r>
        <w:rPr>
          <w:rFonts w:ascii="Times New Roman" w:hAnsi="Times New Roman" w:cs="Times New Roman"/>
          <w:sz w:val="20"/>
          <w:szCs w:val="20"/>
        </w:rPr>
        <w:t>__№ __</w:t>
      </w:r>
      <w:r w:rsidR="007D4C4D">
        <w:rPr>
          <w:rFonts w:ascii="Times New Roman" w:hAnsi="Times New Roman" w:cs="Times New Roman"/>
          <w:sz w:val="20"/>
          <w:szCs w:val="20"/>
        </w:rPr>
        <w:t>1379-па</w:t>
      </w:r>
      <w:bookmarkStart w:id="0" w:name="_GoBack"/>
      <w:bookmarkEnd w:id="0"/>
      <w:r>
        <w:rPr>
          <w:rFonts w:ascii="Times New Roman" w:hAnsi="Times New Roman" w:cs="Times New Roman"/>
          <w:sz w:val="20"/>
          <w:szCs w:val="20"/>
        </w:rPr>
        <w:t>__</w:t>
      </w:r>
    </w:p>
    <w:p w:rsidR="007C1134" w:rsidRDefault="00BA38C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ПЕРЕЧЕНЬ</w:t>
      </w:r>
    </w:p>
    <w:p w:rsidR="007C1134" w:rsidRDefault="00BA38C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ведомственных</w:t>
      </w:r>
      <w:r>
        <w:rPr>
          <w:rFonts w:ascii="Times New Roman" w:hAnsi="Times New Roman" w:cs="Times New Roman"/>
          <w:sz w:val="20"/>
          <w:szCs w:val="20"/>
        </w:rPr>
        <w:t xml:space="preserve"> целевых программ, основных мероприятий и ресурсное обеспечение подпрограммы 2 «Обеспечение долговой устойчивости</w:t>
      </w:r>
    </w:p>
    <w:p w:rsidR="007C1134" w:rsidRDefault="00BA38C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>
        <w:rPr>
          <w:rFonts w:ascii="Times New Roman" w:hAnsi="Times New Roman" w:cs="Times New Roman"/>
          <w:sz w:val="20"/>
          <w:szCs w:val="20"/>
        </w:rPr>
        <w:t>бюджета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ЗАТО Северск» муниципальной программы «Эффективное управление муниципальными финансами ЗАТО Северск»</w:t>
      </w:r>
    </w:p>
    <w:p w:rsidR="007C1134" w:rsidRDefault="00BA38C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Таблица</w:t>
      </w:r>
      <w:r>
        <w:rPr>
          <w:rFonts w:ascii="Times New Roman" w:hAnsi="Times New Roman" w:cs="Times New Roman"/>
          <w:sz w:val="20"/>
          <w:szCs w:val="20"/>
        </w:rPr>
        <w:t xml:space="preserve"> 2</w:t>
      </w:r>
    </w:p>
    <w:tbl>
      <w:tblPr>
        <w:tblW w:w="14859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507"/>
        <w:gridCol w:w="1715"/>
        <w:gridCol w:w="861"/>
        <w:gridCol w:w="1169"/>
        <w:gridCol w:w="1149"/>
        <w:gridCol w:w="1119"/>
        <w:gridCol w:w="1134"/>
        <w:gridCol w:w="1269"/>
        <w:gridCol w:w="1425"/>
        <w:gridCol w:w="3260"/>
        <w:gridCol w:w="1251"/>
      </w:tblGrid>
      <w:tr w:rsidR="007C1134">
        <w:trPr>
          <w:trHeight w:val="1222"/>
        </w:trPr>
        <w:tc>
          <w:tcPr>
            <w:tcW w:w="5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7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Срок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11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финанси-рования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тыс. руб.</w:t>
            </w:r>
          </w:p>
        </w:tc>
        <w:tc>
          <w:tcPr>
            <w:tcW w:w="46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Участники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-мы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участники мероприятия</w:t>
            </w:r>
          </w:p>
        </w:tc>
        <w:tc>
          <w:tcPr>
            <w:tcW w:w="45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7C1134">
        <w:trPr>
          <w:trHeight w:val="1667"/>
        </w:trPr>
        <w:tc>
          <w:tcPr>
            <w:tcW w:w="50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бюджета (по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111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област-ного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бюджета (по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26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жетных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источников (по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125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по годам реализации</w:t>
            </w:r>
          </w:p>
        </w:tc>
      </w:tr>
    </w:tbl>
    <w:p w:rsidR="007C1134" w:rsidRDefault="007C1134">
      <w:pPr>
        <w:spacing w:after="0" w:line="14" w:lineRule="auto"/>
        <w:jc w:val="right"/>
        <w:rPr>
          <w:rFonts w:ascii="Times New Roman" w:hAnsi="Times New Roman" w:cs="Times New Roman"/>
          <w:sz w:val="20"/>
          <w:szCs w:val="20"/>
        </w:rPr>
      </w:pPr>
    </w:p>
    <w:tbl>
      <w:tblPr>
        <w:tblW w:w="14886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8"/>
        <w:gridCol w:w="1725"/>
        <w:gridCol w:w="867"/>
        <w:gridCol w:w="1152"/>
        <w:gridCol w:w="1189"/>
        <w:gridCol w:w="1079"/>
        <w:gridCol w:w="1134"/>
        <w:gridCol w:w="1276"/>
        <w:gridCol w:w="1418"/>
        <w:gridCol w:w="3279"/>
        <w:gridCol w:w="1259"/>
      </w:tblGrid>
      <w:tr w:rsidR="007C1134">
        <w:trPr>
          <w:trHeight w:val="289"/>
          <w:tblHeader/>
        </w:trPr>
        <w:tc>
          <w:tcPr>
            <w:tcW w:w="508" w:type="dxa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25" w:type="dxa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67" w:type="dxa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52" w:type="dxa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89" w:type="dxa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79" w:type="dxa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18" w:type="dxa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279" w:type="dxa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59" w:type="dxa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7C1134">
        <w:trPr>
          <w:trHeight w:val="332"/>
        </w:trPr>
        <w:tc>
          <w:tcPr>
            <w:tcW w:w="508" w:type="dxa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14378" w:type="dxa"/>
            <w:gridSpan w:val="10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1 «Эффективное управление муниципальным долгом ЗАТО Северск»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подпрограммы 2</w:t>
            </w:r>
          </w:p>
        </w:tc>
      </w:tr>
      <w:tr w:rsidR="007C1134">
        <w:trPr>
          <w:trHeight w:val="157"/>
        </w:trPr>
        <w:tc>
          <w:tcPr>
            <w:tcW w:w="508" w:type="dxa"/>
            <w:vMerge w:val="restart"/>
            <w:shd w:val="clear" w:color="auto" w:fill="auto"/>
          </w:tcPr>
          <w:p w:rsidR="007C1134" w:rsidRDefault="007C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5" w:type="dxa"/>
            <w:vMerge w:val="restart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«Эффективное управление муниципальным долгом ЗАТО Северск»</w:t>
            </w:r>
          </w:p>
        </w:tc>
        <w:tc>
          <w:tcPr>
            <w:tcW w:w="867" w:type="dxa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52" w:type="dxa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84 708,04</w:t>
            </w:r>
          </w:p>
        </w:tc>
        <w:tc>
          <w:tcPr>
            <w:tcW w:w="1189" w:type="dxa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9" w:type="dxa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84 708,04</w:t>
            </w:r>
          </w:p>
        </w:tc>
        <w:tc>
          <w:tcPr>
            <w:tcW w:w="1276" w:type="dxa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3279" w:type="dxa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59" w:type="dxa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C1134">
        <w:trPr>
          <w:trHeight w:val="1970"/>
        </w:trPr>
        <w:tc>
          <w:tcPr>
            <w:tcW w:w="508" w:type="dxa"/>
            <w:vMerge/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5" w:type="dxa"/>
            <w:vMerge/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7" w:type="dxa"/>
            <w:vMerge w:val="restart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52" w:type="dxa"/>
            <w:vMerge w:val="restart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14 638,91</w:t>
            </w:r>
          </w:p>
        </w:tc>
        <w:tc>
          <w:tcPr>
            <w:tcW w:w="1189" w:type="dxa"/>
            <w:vMerge w:val="restart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14 638,91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79" w:type="dxa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Объем муниципального долга на конец года к годовому объему доходов бюджета ЗАТО Северск без учета объема безвозмездных поступлений и (или) поступлений налоговых доходов по дополнительным нормативам отчислений,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9" w:type="dxa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40</w:t>
            </w:r>
          </w:p>
        </w:tc>
      </w:tr>
      <w:tr w:rsidR="007C1134">
        <w:trPr>
          <w:trHeight w:val="3954"/>
        </w:trPr>
        <w:tc>
          <w:tcPr>
            <w:tcW w:w="508" w:type="dxa"/>
            <w:vMerge/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5" w:type="dxa"/>
            <w:vMerge/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7" w:type="dxa"/>
            <w:vMerge/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9" w:type="dxa"/>
            <w:vMerge/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79" w:type="dxa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Отношение годовой суммы платежей по погашению и обслуживанию муниципального долга, возникшего по состоянию на 1 января очередного финансового года, без учета платежей, направляемых на досрочное погашение долговых обязательств со сроками погашения после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января года, следующего за очередным финансовым годом, к общему объему налоговых и неналоговых доходов бюджета ЗАТО Северск и дотаций из бюджетов бюджетной системы Российской Федерации,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9" w:type="dxa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10</w:t>
            </w:r>
          </w:p>
        </w:tc>
      </w:tr>
      <w:tr w:rsidR="007C1134">
        <w:trPr>
          <w:trHeight w:val="2056"/>
        </w:trPr>
        <w:tc>
          <w:tcPr>
            <w:tcW w:w="508" w:type="dxa"/>
            <w:vMerge/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5" w:type="dxa"/>
            <w:vMerge/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7" w:type="dxa"/>
            <w:vMerge/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9" w:type="dxa"/>
            <w:vMerge/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79" w:type="dxa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расходов на обслуживание муниципального долга в общем объеме расходов бюджета ЗАТО Северск, за исключением объема расходов, которые осуществляются за счет субвенций, предоставляемых из бюджетов бюджетной системы Российской Федерации,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59" w:type="dxa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 более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7C1134">
        <w:trPr>
          <w:trHeight w:val="1828"/>
        </w:trPr>
        <w:tc>
          <w:tcPr>
            <w:tcW w:w="508" w:type="dxa"/>
            <w:vMerge/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5" w:type="dxa"/>
            <w:vMerge/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7" w:type="dxa"/>
            <w:vMerge w:val="restart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52" w:type="dxa"/>
            <w:vMerge w:val="restart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19 258,44</w:t>
            </w:r>
          </w:p>
          <w:p w:rsidR="007C1134" w:rsidRDefault="007C113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9" w:type="dxa"/>
            <w:vMerge w:val="restart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19 258,44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79" w:type="dxa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Объем муниципального долга на конец года к годовому объему доходов бюджета ЗАТО Северск без учета объема безвозмездных поступлений и (или) поступлений налоговых доходов по дополнительным нормативам отчислений,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:rsidR="007C1134" w:rsidRDefault="007C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9" w:type="dxa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50</w:t>
            </w:r>
          </w:p>
        </w:tc>
      </w:tr>
      <w:tr w:rsidR="007C1134">
        <w:trPr>
          <w:trHeight w:val="3968"/>
        </w:trPr>
        <w:tc>
          <w:tcPr>
            <w:tcW w:w="508" w:type="dxa"/>
            <w:vMerge/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5" w:type="dxa"/>
            <w:vMerge/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7" w:type="dxa"/>
            <w:vMerge/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9" w:type="dxa"/>
            <w:vMerge/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79" w:type="dxa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Отношение годовой суммы платежей по погашению и обслуживанию муниципального долга, возникшего по состоянию на 1 января очередного финансового года, без учета платежей, направляемых на досрочное погашение долговых обязательств со сроками погашения после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января года, следующего за очередным финансовым годом, к общему объему налоговых и неналоговых доходов бюджета ЗАТО Северск и дотаций из бюджетов бюджетной системы Российской Федерации,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9" w:type="dxa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11</w:t>
            </w:r>
          </w:p>
        </w:tc>
      </w:tr>
      <w:tr w:rsidR="007C1134">
        <w:trPr>
          <w:trHeight w:val="2418"/>
        </w:trPr>
        <w:tc>
          <w:tcPr>
            <w:tcW w:w="508" w:type="dxa"/>
            <w:vMerge/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5" w:type="dxa"/>
            <w:vMerge/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7" w:type="dxa"/>
            <w:vMerge/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9" w:type="dxa"/>
            <w:vMerge/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79" w:type="dxa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расходов на обслуживание муниципального долга в общем объеме расходов бюджета ЗАТО Северск, за исключением объема расходов, которые осуществляются за счет субвенций, предоставляемых из бюджетов бюджетной системы Российской Федерации,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59" w:type="dxa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 более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7C1134">
        <w:trPr>
          <w:trHeight w:val="1969"/>
        </w:trPr>
        <w:tc>
          <w:tcPr>
            <w:tcW w:w="508" w:type="dxa"/>
            <w:vMerge/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5" w:type="dxa"/>
            <w:vMerge/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7" w:type="dxa"/>
            <w:vMerge w:val="restart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  <w:p w:rsidR="007C1134" w:rsidRDefault="007C113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C1134" w:rsidRDefault="007C113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C1134" w:rsidRDefault="007C113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 w:val="restart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14 961,89</w:t>
            </w:r>
          </w:p>
        </w:tc>
        <w:tc>
          <w:tcPr>
            <w:tcW w:w="1189" w:type="dxa"/>
            <w:vMerge w:val="restart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14 961,89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79" w:type="dxa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Объем муниципального долга на конец года к годовому объему доходов бюджета ЗАТО Северск без учета объема безвозмездных поступлений и (или) поступлений налоговых доходов по дополнительным нормативам отчислений,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9" w:type="dxa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50</w:t>
            </w:r>
          </w:p>
        </w:tc>
      </w:tr>
      <w:tr w:rsidR="007C1134">
        <w:trPr>
          <w:trHeight w:val="3939"/>
        </w:trPr>
        <w:tc>
          <w:tcPr>
            <w:tcW w:w="508" w:type="dxa"/>
            <w:vMerge/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5" w:type="dxa"/>
            <w:vMerge/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7" w:type="dxa"/>
            <w:vMerge/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9" w:type="dxa"/>
            <w:vMerge/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79" w:type="dxa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Отношение годовой суммы платежей по погашению и обслуживанию муниципального долга, возникшего по состоянию на 1 января очередного финансового года, без учета платежей, направляемых на досрочное погашение долговых обязательств со сроками погашения после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января года, следующего за очередным финансовым годом, к общему объему налоговых и неналоговых доходов бюджета ЗАТО Северск и дотаций из бюджетов бюджетной системы Российской Федерации,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9" w:type="dxa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12</w:t>
            </w:r>
          </w:p>
        </w:tc>
      </w:tr>
      <w:tr w:rsidR="007C1134">
        <w:trPr>
          <w:trHeight w:val="2462"/>
        </w:trPr>
        <w:tc>
          <w:tcPr>
            <w:tcW w:w="508" w:type="dxa"/>
            <w:vMerge/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5" w:type="dxa"/>
            <w:vMerge/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7" w:type="dxa"/>
            <w:vMerge/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9" w:type="dxa"/>
            <w:vMerge/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79" w:type="dxa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расходов на обслуживание муниципального долга в общем объеме расходов бюджета ЗАТО Северск, за исключением объема расходов, которые осуществляются за счет субвенций, предоставляемых из бюджетов бюджетной системы Российской Федерации,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59" w:type="dxa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 более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7C1134">
        <w:trPr>
          <w:trHeight w:val="2111"/>
        </w:trPr>
        <w:tc>
          <w:tcPr>
            <w:tcW w:w="508" w:type="dxa"/>
            <w:vMerge/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5" w:type="dxa"/>
            <w:vMerge/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7" w:type="dxa"/>
            <w:vMerge w:val="restart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52" w:type="dxa"/>
            <w:vMerge w:val="restart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35 848,80</w:t>
            </w:r>
          </w:p>
        </w:tc>
        <w:tc>
          <w:tcPr>
            <w:tcW w:w="1189" w:type="dxa"/>
            <w:vMerge w:val="restart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35 848,80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79" w:type="dxa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Объем муниципального долга на конец года к годовому объему доходов бюджета ЗАТО Северск без учета объема безвозмездных поступлений и (или) поступлений налоговых доходов по дополнительным нормативам отчислений,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9" w:type="dxa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50</w:t>
            </w:r>
          </w:p>
        </w:tc>
      </w:tr>
      <w:tr w:rsidR="007C1134">
        <w:trPr>
          <w:trHeight w:val="3674"/>
        </w:trPr>
        <w:tc>
          <w:tcPr>
            <w:tcW w:w="508" w:type="dxa"/>
            <w:vMerge/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5" w:type="dxa"/>
            <w:vMerge/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7" w:type="dxa"/>
            <w:vMerge/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9" w:type="dxa"/>
            <w:vMerge/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79" w:type="dxa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Отношение годовой суммы платежей по погашению и обслуживанию муниципального долга, возникшего по состоянию на 1 января очередного финансового года, без учета платежей, направляемых на досрочное погашение долговых обязательств со сроками погашения после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января года, следующего за очередным финансовым годом, к общему объему налоговых и неналоговых доходов бюджета ЗАТО Северск и дотаций из бюджетов бюджетной системы Российской Федерации,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59" w:type="dxa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12</w:t>
            </w:r>
          </w:p>
        </w:tc>
      </w:tr>
      <w:tr w:rsidR="007C1134">
        <w:trPr>
          <w:trHeight w:val="2055"/>
        </w:trPr>
        <w:tc>
          <w:tcPr>
            <w:tcW w:w="508" w:type="dxa"/>
            <w:vMerge/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5" w:type="dxa"/>
            <w:vMerge/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7" w:type="dxa"/>
            <w:vMerge/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9" w:type="dxa"/>
            <w:vMerge/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79" w:type="dxa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расходов на обслуживание муниципального долга в общем объеме расходов бюджета ЗАТО Северск, за исключением объема расходов, которые осуществляются за счет субвенций, предоставляемых из бюджетов бюджетной системы Российской Федерации,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59" w:type="dxa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 более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7C1134">
        <w:trPr>
          <w:trHeight w:val="2055"/>
        </w:trPr>
        <w:tc>
          <w:tcPr>
            <w:tcW w:w="508" w:type="dxa"/>
            <w:vMerge/>
            <w:vAlign w:val="center"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5" w:type="dxa"/>
            <w:vMerge/>
            <w:vAlign w:val="center"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7" w:type="dxa"/>
            <w:shd w:val="clear" w:color="auto" w:fill="auto"/>
          </w:tcPr>
          <w:p w:rsidR="007C1134" w:rsidRDefault="00BA38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прог-ноз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-ный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пери-од)</w:t>
            </w:r>
          </w:p>
        </w:tc>
        <w:tc>
          <w:tcPr>
            <w:tcW w:w="1152" w:type="dxa"/>
            <w:shd w:val="clear" w:color="auto" w:fill="auto"/>
          </w:tcPr>
          <w:p w:rsidR="007C1134" w:rsidRDefault="00BA38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24 161,60</w:t>
            </w:r>
          </w:p>
        </w:tc>
        <w:tc>
          <w:tcPr>
            <w:tcW w:w="1189" w:type="dxa"/>
            <w:shd w:val="clear" w:color="auto" w:fill="auto"/>
          </w:tcPr>
          <w:p w:rsidR="007C1134" w:rsidRDefault="00BA38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9" w:type="dxa"/>
            <w:shd w:val="clear" w:color="auto" w:fill="auto"/>
          </w:tcPr>
          <w:p w:rsidR="007C1134" w:rsidRDefault="00BA38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7C1134" w:rsidRDefault="00BA38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24 161,60</w:t>
            </w:r>
          </w:p>
        </w:tc>
        <w:tc>
          <w:tcPr>
            <w:tcW w:w="1276" w:type="dxa"/>
            <w:shd w:val="clear" w:color="auto" w:fill="auto"/>
          </w:tcPr>
          <w:p w:rsidR="007C1134" w:rsidRDefault="00BA38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79" w:type="dxa"/>
            <w:shd w:val="clear" w:color="auto" w:fill="auto"/>
          </w:tcPr>
          <w:p w:rsidR="007C1134" w:rsidRDefault="00BA3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Объем муниципального долга на конец года к годовому объему доходов бюджета ЗАТО Северск без учета объема безвозмездных поступлений и (или) поступлений налоговых доходов по дополнительным нормативам отчислений,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9" w:type="dxa"/>
            <w:shd w:val="clear" w:color="auto" w:fill="auto"/>
          </w:tcPr>
          <w:p w:rsidR="007C1134" w:rsidRDefault="00BA3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50</w:t>
            </w:r>
          </w:p>
        </w:tc>
      </w:tr>
      <w:tr w:rsidR="007C1134">
        <w:trPr>
          <w:trHeight w:val="2055"/>
        </w:trPr>
        <w:tc>
          <w:tcPr>
            <w:tcW w:w="508" w:type="dxa"/>
            <w:vMerge w:val="restart"/>
            <w:vAlign w:val="center"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5" w:type="dxa"/>
            <w:vMerge/>
            <w:vAlign w:val="center"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7" w:type="dxa"/>
            <w:vMerge w:val="restart"/>
            <w:vAlign w:val="center"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 w:val="restart"/>
            <w:vAlign w:val="center"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9" w:type="dxa"/>
            <w:vMerge w:val="restart"/>
            <w:vAlign w:val="center"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9" w:type="dxa"/>
            <w:vMerge w:val="restart"/>
            <w:vAlign w:val="center"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  <w:vAlign w:val="center"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79" w:type="dxa"/>
            <w:shd w:val="clear" w:color="auto" w:fill="auto"/>
          </w:tcPr>
          <w:p w:rsidR="007C1134" w:rsidRDefault="00BA3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Отношение годовой суммы платежей по погашению и обслуживанию муниципального долга, возникшего по состоянию на 1 января очередного финансового года, без учета платежей, направляемых на досрочное погашение долговых обязательств со сроками погашения после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января года, следующего за очередным финансовым годом, к общему объему налоговых и неналоговых доходов бюджета ЗАТО Северск и дотаций из бюджетов бюджетной системы Российской Федерации,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59" w:type="dxa"/>
            <w:shd w:val="clear" w:color="auto" w:fill="auto"/>
          </w:tcPr>
          <w:p w:rsidR="007C1134" w:rsidRDefault="00BA3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12</w:t>
            </w:r>
          </w:p>
        </w:tc>
      </w:tr>
      <w:tr w:rsidR="007C1134">
        <w:trPr>
          <w:trHeight w:val="2055"/>
        </w:trPr>
        <w:tc>
          <w:tcPr>
            <w:tcW w:w="508" w:type="dxa"/>
            <w:vMerge/>
            <w:vAlign w:val="center"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5" w:type="dxa"/>
            <w:vMerge/>
            <w:vAlign w:val="center"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7" w:type="dxa"/>
            <w:vMerge/>
            <w:vAlign w:val="center"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9" w:type="dxa"/>
            <w:vMerge/>
            <w:vAlign w:val="center"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9" w:type="dxa"/>
            <w:vMerge/>
            <w:vAlign w:val="center"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79" w:type="dxa"/>
            <w:shd w:val="clear" w:color="auto" w:fill="auto"/>
          </w:tcPr>
          <w:p w:rsidR="007C1134" w:rsidRDefault="00BA3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расходов на обслуживание муниципального долга в общем объеме расходов бюджета ЗАТО Северск, за исключением объема расходов, которые осуществляются за счет субвенций, предоставляемых из бюджетов бюджетной системы Российской Федерации,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59" w:type="dxa"/>
            <w:shd w:val="clear" w:color="auto" w:fill="auto"/>
          </w:tcPr>
          <w:p w:rsidR="007C1134" w:rsidRDefault="00BA3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 более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7C1134">
        <w:trPr>
          <w:trHeight w:val="289"/>
        </w:trPr>
        <w:tc>
          <w:tcPr>
            <w:tcW w:w="508" w:type="dxa"/>
            <w:vMerge w:val="restart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25" w:type="dxa"/>
            <w:vMerge w:val="restart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2</w:t>
            </w:r>
          </w:p>
        </w:tc>
        <w:tc>
          <w:tcPr>
            <w:tcW w:w="867" w:type="dxa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52" w:type="dxa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84 708,04</w:t>
            </w:r>
          </w:p>
        </w:tc>
        <w:tc>
          <w:tcPr>
            <w:tcW w:w="1189" w:type="dxa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9" w:type="dxa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84 708,04</w:t>
            </w:r>
          </w:p>
        </w:tc>
        <w:tc>
          <w:tcPr>
            <w:tcW w:w="1276" w:type="dxa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79" w:type="dxa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59" w:type="dxa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C1134">
        <w:trPr>
          <w:trHeight w:val="289"/>
        </w:trPr>
        <w:tc>
          <w:tcPr>
            <w:tcW w:w="508" w:type="dxa"/>
            <w:vMerge/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5" w:type="dxa"/>
            <w:vMerge/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7" w:type="dxa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52" w:type="dxa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14 638,91</w:t>
            </w:r>
          </w:p>
        </w:tc>
        <w:tc>
          <w:tcPr>
            <w:tcW w:w="1189" w:type="dxa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9" w:type="dxa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14 638,91</w:t>
            </w:r>
          </w:p>
        </w:tc>
        <w:tc>
          <w:tcPr>
            <w:tcW w:w="1276" w:type="dxa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79" w:type="dxa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59" w:type="dxa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C1134">
        <w:trPr>
          <w:trHeight w:val="289"/>
        </w:trPr>
        <w:tc>
          <w:tcPr>
            <w:tcW w:w="508" w:type="dxa"/>
            <w:vMerge/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5" w:type="dxa"/>
            <w:vMerge/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7" w:type="dxa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52" w:type="dxa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19 258,44</w:t>
            </w:r>
          </w:p>
        </w:tc>
        <w:tc>
          <w:tcPr>
            <w:tcW w:w="1189" w:type="dxa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9" w:type="dxa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19 258,44</w:t>
            </w:r>
          </w:p>
        </w:tc>
        <w:tc>
          <w:tcPr>
            <w:tcW w:w="1276" w:type="dxa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79" w:type="dxa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59" w:type="dxa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C1134">
        <w:trPr>
          <w:trHeight w:val="289"/>
        </w:trPr>
        <w:tc>
          <w:tcPr>
            <w:tcW w:w="508" w:type="dxa"/>
            <w:vMerge/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5" w:type="dxa"/>
            <w:vMerge/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7" w:type="dxa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52" w:type="dxa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14 961,89</w:t>
            </w:r>
          </w:p>
        </w:tc>
        <w:tc>
          <w:tcPr>
            <w:tcW w:w="1189" w:type="dxa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9" w:type="dxa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14 961,89</w:t>
            </w:r>
          </w:p>
        </w:tc>
        <w:tc>
          <w:tcPr>
            <w:tcW w:w="1276" w:type="dxa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79" w:type="dxa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59" w:type="dxa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C1134">
        <w:trPr>
          <w:trHeight w:val="289"/>
        </w:trPr>
        <w:tc>
          <w:tcPr>
            <w:tcW w:w="508" w:type="dxa"/>
            <w:vMerge/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5" w:type="dxa"/>
            <w:vMerge/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7" w:type="dxa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52" w:type="dxa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35 848,80</w:t>
            </w:r>
          </w:p>
        </w:tc>
        <w:tc>
          <w:tcPr>
            <w:tcW w:w="1189" w:type="dxa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9" w:type="dxa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35 848,80</w:t>
            </w:r>
          </w:p>
        </w:tc>
        <w:tc>
          <w:tcPr>
            <w:tcW w:w="1276" w:type="dxa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79" w:type="dxa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59" w:type="dxa"/>
            <w:shd w:val="clear" w:color="auto" w:fill="auto"/>
            <w:hideMark/>
          </w:tcPr>
          <w:p w:rsidR="007C1134" w:rsidRDefault="00BA38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C1134">
        <w:trPr>
          <w:trHeight w:val="289"/>
        </w:trPr>
        <w:tc>
          <w:tcPr>
            <w:tcW w:w="508" w:type="dxa"/>
            <w:vMerge/>
            <w:vAlign w:val="center"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5" w:type="dxa"/>
            <w:vMerge/>
            <w:vAlign w:val="center"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7" w:type="dxa"/>
            <w:shd w:val="clear" w:color="auto" w:fill="auto"/>
          </w:tcPr>
          <w:p w:rsidR="007C1134" w:rsidRDefault="00BA38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прог-нозный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пери-од)</w:t>
            </w:r>
          </w:p>
        </w:tc>
        <w:tc>
          <w:tcPr>
            <w:tcW w:w="1152" w:type="dxa"/>
            <w:shd w:val="clear" w:color="auto" w:fill="auto"/>
          </w:tcPr>
          <w:p w:rsidR="007C1134" w:rsidRDefault="00BA38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24 161,60</w:t>
            </w:r>
          </w:p>
        </w:tc>
        <w:tc>
          <w:tcPr>
            <w:tcW w:w="1189" w:type="dxa"/>
            <w:shd w:val="clear" w:color="auto" w:fill="auto"/>
          </w:tcPr>
          <w:p w:rsidR="007C1134" w:rsidRDefault="00BA38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9" w:type="dxa"/>
            <w:shd w:val="clear" w:color="auto" w:fill="auto"/>
          </w:tcPr>
          <w:p w:rsidR="007C1134" w:rsidRDefault="00BA38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7C1134" w:rsidRDefault="00BA38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24 161,60</w:t>
            </w:r>
          </w:p>
        </w:tc>
        <w:tc>
          <w:tcPr>
            <w:tcW w:w="1276" w:type="dxa"/>
            <w:shd w:val="clear" w:color="auto" w:fill="auto"/>
          </w:tcPr>
          <w:p w:rsidR="007C1134" w:rsidRDefault="00BA38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</w:tcPr>
          <w:p w:rsidR="007C1134" w:rsidRDefault="007C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79" w:type="dxa"/>
            <w:shd w:val="clear" w:color="auto" w:fill="auto"/>
          </w:tcPr>
          <w:p w:rsidR="007C1134" w:rsidRDefault="00BA38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59" w:type="dxa"/>
            <w:shd w:val="clear" w:color="auto" w:fill="auto"/>
          </w:tcPr>
          <w:p w:rsidR="007C1134" w:rsidRDefault="00BA38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</w:tbl>
    <w:p w:rsidR="007C1134" w:rsidRDefault="007C1134">
      <w:pPr>
        <w:spacing w:after="0" w:line="240" w:lineRule="auto"/>
        <w:rPr>
          <w:rFonts w:ascii="Times New Roman" w:hAnsi="Times New Roman" w:cs="Times New Roman"/>
        </w:rPr>
      </w:pPr>
    </w:p>
    <w:sectPr w:rsidR="007C1134">
      <w:headerReference w:type="default" r:id="rId8"/>
      <w:footerReference w:type="default" r:id="rId9"/>
      <w:footerReference w:type="first" r:id="rId10"/>
      <w:pgSz w:w="16838" w:h="11906" w:orient="landscape"/>
      <w:pgMar w:top="1418" w:right="851" w:bottom="426" w:left="709" w:header="709" w:footer="13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38C7" w:rsidRDefault="00BA38C7">
      <w:pPr>
        <w:spacing w:after="0" w:line="240" w:lineRule="auto"/>
      </w:pPr>
      <w:r>
        <w:separator/>
      </w:r>
    </w:p>
  </w:endnote>
  <w:endnote w:type="continuationSeparator" w:id="0">
    <w:p w:rsidR="00BA38C7" w:rsidRDefault="00BA38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1134" w:rsidRDefault="00BA38C7">
    <w:pPr>
      <w:pStyle w:val="a6"/>
      <w:ind w:firstLine="284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0298821</w:t>
    </w:r>
  </w:p>
  <w:p w:rsidR="007C1134" w:rsidRDefault="007C1134">
    <w:pPr>
      <w:pStyle w:val="a6"/>
      <w:tabs>
        <w:tab w:val="clear" w:pos="4677"/>
        <w:tab w:val="clear" w:pos="9355"/>
        <w:tab w:val="left" w:pos="4275"/>
      </w:tabs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1134" w:rsidRDefault="00BA38C7">
    <w:pPr>
      <w:pStyle w:val="a6"/>
      <w:ind w:firstLine="284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0298821</w:t>
    </w:r>
  </w:p>
  <w:p w:rsidR="007C1134" w:rsidRDefault="007C113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38C7" w:rsidRDefault="00BA38C7">
      <w:pPr>
        <w:spacing w:after="0" w:line="240" w:lineRule="auto"/>
      </w:pPr>
      <w:r>
        <w:separator/>
      </w:r>
    </w:p>
  </w:footnote>
  <w:footnote w:type="continuationSeparator" w:id="0">
    <w:p w:rsidR="00BA38C7" w:rsidRDefault="00BA38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6956942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7C1134" w:rsidRDefault="00BA38C7">
        <w:pPr>
          <w:pStyle w:val="a4"/>
          <w:jc w:val="center"/>
          <w:rPr>
            <w:rFonts w:ascii="Times New Roman" w:hAnsi="Times New Roman" w:cs="Times New Roman"/>
            <w:sz w:val="20"/>
            <w:szCs w:val="20"/>
          </w:rPr>
        </w:pPr>
        <w:r>
          <w:rPr>
            <w:rFonts w:ascii="Times New Roman" w:hAnsi="Times New Roman" w:cs="Times New Roman"/>
            <w:sz w:val="20"/>
            <w:szCs w:val="20"/>
          </w:rPr>
          <w:fldChar w:fldCharType="begin"/>
        </w:r>
        <w:r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7D4C4D">
          <w:rPr>
            <w:rFonts w:ascii="Times New Roman" w:hAnsi="Times New Roman" w:cs="Times New Roman"/>
            <w:noProof/>
            <w:sz w:val="20"/>
            <w:szCs w:val="20"/>
          </w:rPr>
          <w:t>6</w:t>
        </w:r>
        <w:r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7C1134" w:rsidRDefault="007C1134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>
    <w:nsid w:val="2F7C6CA6"/>
    <w:multiLevelType w:val="hybridMultilevel"/>
    <w:tmpl w:val="77C89040"/>
    <w:lvl w:ilvl="0" w:tplc="6B74B07E">
      <w:start w:val="2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134"/>
    <w:rsid w:val="007C1134"/>
    <w:rsid w:val="007D4C4D"/>
    <w:rsid w:val="00BA3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5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41E456-E1EF-4BB6-84F8-47A3BEDE7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2574</TotalTime>
  <Pages>1</Pages>
  <Words>1047</Words>
  <Characters>5968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7001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352</cp:revision>
  <cp:lastPrinted>2022-09-21T09:21:00Z</cp:lastPrinted>
  <dcterms:created xsi:type="dcterms:W3CDTF">2020-06-19T07:51:00Z</dcterms:created>
  <dcterms:modified xsi:type="dcterms:W3CDTF">2023-07-25T04:26:00Z</dcterms:modified>
</cp:coreProperties>
</file>